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48B7F817"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164ADC" w:rsidRPr="00B00214">
        <w:rPr>
          <w:sz w:val="22"/>
          <w:szCs w:val="22"/>
        </w:rPr>
        <w:t xml:space="preserve">по </w:t>
      </w:r>
      <w:r w:rsidR="00116C2A" w:rsidRPr="00DA4A0E">
        <w:rPr>
          <w:sz w:val="22"/>
          <w:szCs w:val="22"/>
        </w:rPr>
        <w:t>капитальному ремонту трансформаторов</w:t>
      </w:r>
      <w:r w:rsidR="00221561" w:rsidRPr="00221561">
        <w:rPr>
          <w:sz w:val="22"/>
          <w:szCs w:val="22"/>
        </w:rPr>
        <w:t xml:space="preserve"> </w:t>
      </w:r>
      <w:r w:rsidR="00221561" w:rsidRPr="00B86C0A">
        <w:rPr>
          <w:sz w:val="22"/>
          <w:szCs w:val="22"/>
        </w:rPr>
        <w:t>Т-1, Т-2 марки ТМ-2500-35/10 ПС 35/10 кВ Костино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61B6A9A7"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капитальному ремонту трансформаторов</w:t>
      </w:r>
      <w:r w:rsidR="00221561">
        <w:rPr>
          <w:sz w:val="22"/>
          <w:szCs w:val="22"/>
          <w:highlight w:val="lightGray"/>
        </w:rPr>
        <w:t xml:space="preserve"> </w:t>
      </w:r>
      <w:r w:rsidR="00116C2A" w:rsidRPr="00116C2A">
        <w:rPr>
          <w:sz w:val="22"/>
          <w:szCs w:val="22"/>
          <w:highlight w:val="lightGray"/>
        </w:rPr>
        <w:t>Т-1, Т</w:t>
      </w:r>
      <w:r w:rsidR="00116C2A" w:rsidRPr="00221561">
        <w:rPr>
          <w:sz w:val="22"/>
          <w:szCs w:val="22"/>
          <w:highlight w:val="lightGray"/>
        </w:rPr>
        <w:t xml:space="preserve">-2 </w:t>
      </w:r>
      <w:r w:rsidR="00221561" w:rsidRPr="00221561">
        <w:rPr>
          <w:sz w:val="22"/>
          <w:szCs w:val="22"/>
          <w:highlight w:val="lightGray"/>
        </w:rPr>
        <w:t>марки ТМ-2500-35/10 ПС 35/10 кВ Костино</w:t>
      </w:r>
      <w:r w:rsidR="00221561">
        <w:rPr>
          <w:sz w:val="22"/>
          <w:szCs w:val="22"/>
          <w:highlight w:val="lightGray"/>
        </w:rPr>
        <w:t>, инв. № 8000016734</w:t>
      </w:r>
      <w:r w:rsidR="00116C2A" w:rsidRPr="00116C2A">
        <w:rPr>
          <w:sz w:val="22"/>
          <w:szCs w:val="22"/>
          <w:highlight w:val="lightGray"/>
        </w:rPr>
        <w:t xml:space="preserve">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569FCE3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196FBA">
        <w:rPr>
          <w:sz w:val="22"/>
          <w:szCs w:val="22"/>
        </w:rPr>
        <w:t>и</w:t>
      </w:r>
      <w:r w:rsidR="009A578A" w:rsidRPr="0037270A">
        <w:rPr>
          <w:sz w:val="22"/>
          <w:szCs w:val="22"/>
        </w:rPr>
        <w:t xml:space="preserve"> сметным</w:t>
      </w:r>
      <w:r w:rsidR="00196FBA">
        <w:rPr>
          <w:sz w:val="22"/>
          <w:szCs w:val="22"/>
        </w:rPr>
        <w:t>и</w:t>
      </w:r>
      <w:r w:rsidR="009A578A" w:rsidRPr="0037270A">
        <w:rPr>
          <w:sz w:val="22"/>
          <w:szCs w:val="22"/>
        </w:rPr>
        <w:t xml:space="preserve"> расче</w:t>
      </w:r>
      <w:r w:rsidR="009A578A">
        <w:rPr>
          <w:sz w:val="22"/>
          <w:szCs w:val="22"/>
        </w:rPr>
        <w:t>т</w:t>
      </w:r>
      <w:r w:rsidR="00196FBA">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697DCC01"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96436E">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96436E">
        <w:rPr>
          <w:sz w:val="22"/>
          <w:szCs w:val="22"/>
        </w:rPr>
        <w:t>ом</w:t>
      </w:r>
      <w:r w:rsidR="00E759FD" w:rsidRPr="0037270A">
        <w:rPr>
          <w:sz w:val="22"/>
          <w:szCs w:val="22"/>
        </w:rPr>
        <w:t xml:space="preserve">. </w:t>
      </w:r>
    </w:p>
    <w:p w14:paraId="28655C70" w14:textId="632D547D"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96436E">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r w:rsidR="00116C2A"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116C2A" w:rsidRPr="00AC209A">
        <w:rPr>
          <w:sz w:val="22"/>
          <w:szCs w:val="22"/>
          <w:highlight w:val="lightGray"/>
        </w:rPr>
        <w:t>и изделия</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29392A7D" w:rsidR="00E759FD" w:rsidRPr="0037270A" w:rsidRDefault="00E759FD" w:rsidP="00E759FD">
      <w:pPr>
        <w:jc w:val="both"/>
        <w:rPr>
          <w:sz w:val="22"/>
          <w:szCs w:val="22"/>
        </w:rPr>
      </w:pPr>
      <w:r w:rsidRPr="00D54D66">
        <w:rPr>
          <w:sz w:val="22"/>
          <w:szCs w:val="22"/>
        </w:rPr>
        <w:t xml:space="preserve">3.1.6. </w:t>
      </w:r>
      <w:r w:rsidR="00116C2A" w:rsidRPr="008F3564">
        <w:rPr>
          <w:sz w:val="22"/>
          <w:szCs w:val="22"/>
          <w:highlight w:val="lightGray"/>
        </w:rPr>
        <w:t>Обеспечить передачу ремонтной документации Заказчику до</w:t>
      </w:r>
      <w:r w:rsidR="00116C2A" w:rsidRPr="008F3564">
        <w:rPr>
          <w:b/>
          <w:color w:val="FF0000"/>
          <w:sz w:val="22"/>
          <w:szCs w:val="22"/>
          <w:highlight w:val="lightGray"/>
        </w:rPr>
        <w:t xml:space="preserve"> </w:t>
      </w:r>
      <w:r w:rsidR="00116C2A" w:rsidRPr="008F3564">
        <w:rPr>
          <w:sz w:val="22"/>
          <w:szCs w:val="22"/>
          <w:highlight w:val="lightGray"/>
        </w:rPr>
        <w:t>принятия результатов выполненных работ.</w:t>
      </w:r>
      <w:r w:rsidR="00116C2A">
        <w:rPr>
          <w:sz w:val="22"/>
          <w:szCs w:val="22"/>
        </w:rPr>
        <w:t xml:space="preserve"> </w:t>
      </w:r>
      <w:r w:rsidRPr="00D54D66">
        <w:rPr>
          <w:sz w:val="22"/>
          <w:szCs w:val="22"/>
        </w:rPr>
        <w:t>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lastRenderedPageBreak/>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3B8D3BFE" w14:textId="77777777" w:rsidR="00116C2A" w:rsidRPr="00495819" w:rsidRDefault="00116C2A" w:rsidP="00116C2A">
      <w:pPr>
        <w:pStyle w:val="af0"/>
        <w:widowControl w:val="0"/>
        <w:spacing w:line="263" w:lineRule="exact"/>
        <w:ind w:left="0"/>
        <w:jc w:val="both"/>
        <w:rPr>
          <w:bCs/>
          <w:sz w:val="22"/>
          <w:szCs w:val="22"/>
          <w:highlight w:val="lightGray"/>
        </w:rPr>
      </w:pPr>
      <w:r>
        <w:rPr>
          <w:bCs/>
          <w:sz w:val="22"/>
          <w:szCs w:val="22"/>
        </w:rPr>
        <w:t xml:space="preserve">3.1.23. </w:t>
      </w:r>
      <w:r w:rsidRPr="00495819">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344355BE"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содержание ПС в работоспособном состоянии;</w:t>
      </w:r>
    </w:p>
    <w:p w14:paraId="163D2508"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безопасное производство работ с применением ПС;</w:t>
      </w:r>
    </w:p>
    <w:p w14:paraId="42C25090" w14:textId="77777777" w:rsidR="00116C2A" w:rsidRPr="0037270A" w:rsidRDefault="00116C2A" w:rsidP="00116C2A">
      <w:pPr>
        <w:jc w:val="both"/>
        <w:rPr>
          <w:sz w:val="22"/>
          <w:szCs w:val="22"/>
        </w:rPr>
      </w:pPr>
      <w:r w:rsidRPr="00FE680B">
        <w:rPr>
          <w:bCs/>
          <w:sz w:val="22"/>
          <w:szCs w:val="22"/>
          <w:highlight w:val="lightGray"/>
        </w:rPr>
        <w:t>- специалиста, ответственного за осуществление производственного контроля при эксплуатации ПС.</w:t>
      </w:r>
    </w:p>
    <w:p w14:paraId="589CCF41" w14:textId="2404DEC5" w:rsidR="00164ADC" w:rsidRPr="0037270A" w:rsidRDefault="00164ADC" w:rsidP="00164ADC">
      <w:pPr>
        <w:jc w:val="both"/>
        <w:rPr>
          <w:sz w:val="22"/>
          <w:szCs w:val="22"/>
        </w:rPr>
      </w:pPr>
      <w:r w:rsidRPr="00164ADC">
        <w:rPr>
          <w:bCs/>
          <w:sz w:val="22"/>
          <w:szCs w:val="22"/>
        </w:rPr>
        <w:t>3</w:t>
      </w:r>
      <w:r>
        <w:rPr>
          <w:bCs/>
          <w:sz w:val="22"/>
          <w:szCs w:val="22"/>
        </w:rPr>
        <w:t>.1.2</w:t>
      </w:r>
      <w:r w:rsidR="00116C2A">
        <w:rPr>
          <w:bCs/>
          <w:sz w:val="22"/>
          <w:szCs w:val="22"/>
        </w:rPr>
        <w:t>4</w:t>
      </w:r>
      <w:r>
        <w:rPr>
          <w:bCs/>
          <w:sz w:val="22"/>
          <w:szCs w:val="22"/>
        </w:rPr>
        <w:t xml:space="preserve">. </w:t>
      </w:r>
      <w:r w:rsidRPr="00720D9B">
        <w:rPr>
          <w:sz w:val="22"/>
          <w:szCs w:val="22"/>
          <w:highlight w:val="lightGray"/>
        </w:rPr>
        <w:t>Произвести возврат демонтируемых материалов Заказчику по накладной.</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5D0F2FF3" w:rsidR="00E759F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2AAF76BD" w14:textId="286AF4FF" w:rsidR="0096436E" w:rsidRDefault="0096436E" w:rsidP="00E759FD">
      <w:pPr>
        <w:jc w:val="both"/>
        <w:rPr>
          <w:sz w:val="22"/>
          <w:szCs w:val="22"/>
        </w:rPr>
      </w:pPr>
    </w:p>
    <w:p w14:paraId="2A45A74A" w14:textId="77777777" w:rsidR="0096436E" w:rsidRPr="00E974CD" w:rsidRDefault="0096436E" w:rsidP="00E759FD">
      <w:pPr>
        <w:jc w:val="both"/>
        <w:rPr>
          <w:sz w:val="22"/>
          <w:szCs w:val="22"/>
        </w:rPr>
      </w:pP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02D83225"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31</w:t>
      </w:r>
      <w:r w:rsidR="00255565" w:rsidRPr="00557004">
        <w:rPr>
          <w:sz w:val="22"/>
          <w:szCs w:val="22"/>
          <w:highlight w:val="lightGray"/>
        </w:rPr>
        <w:t>.</w:t>
      </w:r>
      <w:r w:rsidR="00E24438">
        <w:rPr>
          <w:sz w:val="22"/>
          <w:szCs w:val="22"/>
          <w:highlight w:val="lightGray"/>
        </w:rPr>
        <w:t>0</w:t>
      </w:r>
      <w:r w:rsidR="0096436E">
        <w:rPr>
          <w:sz w:val="22"/>
          <w:szCs w:val="22"/>
          <w:highlight w:val="lightGray"/>
        </w:rPr>
        <w:t>7</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74028403" w14:textId="3C91CA39" w:rsidR="00E24438" w:rsidRDefault="00255565" w:rsidP="0096436E">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 xml:space="preserve">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w:t>
      </w:r>
      <w:r w:rsidRPr="00FB5301">
        <w:rPr>
          <w:sz w:val="22"/>
          <w:szCs w:val="22"/>
        </w:rPr>
        <w:lastRenderedPageBreak/>
        <w:t>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w:t>
      </w:r>
      <w:r w:rsidRPr="00FB5301">
        <w:rPr>
          <w:sz w:val="22"/>
          <w:szCs w:val="22"/>
        </w:rPr>
        <w:lastRenderedPageBreak/>
        <w:t>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lastRenderedPageBreak/>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lastRenderedPageBreak/>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w:t>
      </w:r>
      <w:r w:rsidRPr="00E313A7">
        <w:rPr>
          <w:sz w:val="22"/>
          <w:szCs w:val="22"/>
        </w:rPr>
        <w:lastRenderedPageBreak/>
        <w:t>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w:t>
      </w:r>
      <w:r w:rsidRPr="00E974CD">
        <w:rPr>
          <w:sz w:val="22"/>
          <w:szCs w:val="22"/>
        </w:rPr>
        <w:lastRenderedPageBreak/>
        <w:t>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4E61DECF"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96436E">
        <w:rPr>
          <w:sz w:val="22"/>
          <w:szCs w:val="22"/>
        </w:rPr>
        <w:t>ь</w:t>
      </w:r>
      <w:r w:rsidRPr="00355899">
        <w:rPr>
          <w:sz w:val="22"/>
          <w:szCs w:val="22"/>
        </w:rPr>
        <w:t xml:space="preserve"> объемов работ № </w:t>
      </w:r>
      <w:r w:rsidR="00705B31">
        <w:rPr>
          <w:sz w:val="22"/>
          <w:szCs w:val="22"/>
        </w:rPr>
        <w:t>20-24 П</w:t>
      </w:r>
      <w:r w:rsidRPr="00355899">
        <w:rPr>
          <w:sz w:val="22"/>
          <w:szCs w:val="22"/>
        </w:rPr>
        <w:t>;</w:t>
      </w:r>
    </w:p>
    <w:p w14:paraId="6305C523" w14:textId="1BAD8BDC"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705B31">
        <w:rPr>
          <w:sz w:val="22"/>
          <w:szCs w:val="22"/>
        </w:rPr>
        <w:t>20-24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lastRenderedPageBreak/>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6BDB3689" w:rsidR="00360969" w:rsidRDefault="00360969" w:rsidP="00E25990">
      <w:pPr>
        <w:tabs>
          <w:tab w:val="left" w:pos="1725"/>
          <w:tab w:val="right" w:pos="9921"/>
        </w:tabs>
        <w:jc w:val="right"/>
        <w:rPr>
          <w:sz w:val="22"/>
          <w:szCs w:val="22"/>
        </w:rPr>
      </w:pPr>
    </w:p>
    <w:p w14:paraId="53C807C6" w14:textId="3BDF273F" w:rsidR="0096436E" w:rsidRDefault="0096436E" w:rsidP="00E25990">
      <w:pPr>
        <w:tabs>
          <w:tab w:val="left" w:pos="1725"/>
          <w:tab w:val="right" w:pos="9921"/>
        </w:tabs>
        <w:jc w:val="right"/>
        <w:rPr>
          <w:sz w:val="22"/>
          <w:szCs w:val="22"/>
        </w:rPr>
      </w:pPr>
    </w:p>
    <w:p w14:paraId="7AF18070" w14:textId="1DD93FC0" w:rsidR="0096436E" w:rsidRDefault="0096436E" w:rsidP="00E25990">
      <w:pPr>
        <w:tabs>
          <w:tab w:val="left" w:pos="1725"/>
          <w:tab w:val="right" w:pos="9921"/>
        </w:tabs>
        <w:jc w:val="right"/>
        <w:rPr>
          <w:sz w:val="22"/>
          <w:szCs w:val="22"/>
        </w:rPr>
      </w:pPr>
    </w:p>
    <w:p w14:paraId="326F745B" w14:textId="78CF8519" w:rsidR="0096436E" w:rsidRDefault="0096436E" w:rsidP="00E25990">
      <w:pPr>
        <w:tabs>
          <w:tab w:val="left" w:pos="1725"/>
          <w:tab w:val="right" w:pos="9921"/>
        </w:tabs>
        <w:jc w:val="right"/>
        <w:rPr>
          <w:sz w:val="22"/>
          <w:szCs w:val="22"/>
        </w:rPr>
      </w:pPr>
    </w:p>
    <w:p w14:paraId="4C31F935" w14:textId="34323A1A" w:rsidR="0096436E" w:rsidRDefault="0096436E" w:rsidP="00E25990">
      <w:pPr>
        <w:tabs>
          <w:tab w:val="left" w:pos="1725"/>
          <w:tab w:val="right" w:pos="9921"/>
        </w:tabs>
        <w:jc w:val="right"/>
        <w:rPr>
          <w:sz w:val="22"/>
          <w:szCs w:val="22"/>
        </w:rPr>
      </w:pPr>
    </w:p>
    <w:p w14:paraId="05EBB4BE" w14:textId="3E818077" w:rsidR="0096436E" w:rsidRDefault="0096436E" w:rsidP="00E25990">
      <w:pPr>
        <w:tabs>
          <w:tab w:val="left" w:pos="1725"/>
          <w:tab w:val="right" w:pos="9921"/>
        </w:tabs>
        <w:jc w:val="right"/>
        <w:rPr>
          <w:sz w:val="22"/>
          <w:szCs w:val="22"/>
        </w:rPr>
      </w:pPr>
    </w:p>
    <w:p w14:paraId="092A2BDA" w14:textId="31E0FCC6" w:rsidR="0096436E" w:rsidRDefault="0096436E" w:rsidP="00E25990">
      <w:pPr>
        <w:tabs>
          <w:tab w:val="left" w:pos="1725"/>
          <w:tab w:val="right" w:pos="9921"/>
        </w:tabs>
        <w:jc w:val="right"/>
        <w:rPr>
          <w:sz w:val="22"/>
          <w:szCs w:val="22"/>
        </w:rPr>
      </w:pPr>
    </w:p>
    <w:p w14:paraId="1F4E02B6" w14:textId="0ECABE3C" w:rsidR="0096436E" w:rsidRDefault="0096436E" w:rsidP="00E25990">
      <w:pPr>
        <w:tabs>
          <w:tab w:val="left" w:pos="1725"/>
          <w:tab w:val="right" w:pos="9921"/>
        </w:tabs>
        <w:jc w:val="right"/>
        <w:rPr>
          <w:sz w:val="22"/>
          <w:szCs w:val="22"/>
        </w:rPr>
      </w:pPr>
    </w:p>
    <w:p w14:paraId="12F0CD88" w14:textId="3B0983B1" w:rsidR="0096436E" w:rsidRDefault="0096436E" w:rsidP="00E25990">
      <w:pPr>
        <w:tabs>
          <w:tab w:val="left" w:pos="1725"/>
          <w:tab w:val="right" w:pos="9921"/>
        </w:tabs>
        <w:jc w:val="right"/>
        <w:rPr>
          <w:sz w:val="22"/>
          <w:szCs w:val="22"/>
        </w:rPr>
      </w:pPr>
    </w:p>
    <w:p w14:paraId="770DFA5C" w14:textId="6E4A8C30" w:rsidR="0096436E" w:rsidRDefault="0096436E" w:rsidP="00E25990">
      <w:pPr>
        <w:tabs>
          <w:tab w:val="left" w:pos="1725"/>
          <w:tab w:val="right" w:pos="9921"/>
        </w:tabs>
        <w:jc w:val="right"/>
        <w:rPr>
          <w:sz w:val="22"/>
          <w:szCs w:val="22"/>
        </w:rPr>
      </w:pPr>
    </w:p>
    <w:p w14:paraId="3CF0F583" w14:textId="030787F9" w:rsidR="0096436E" w:rsidRDefault="0096436E" w:rsidP="00E25990">
      <w:pPr>
        <w:tabs>
          <w:tab w:val="left" w:pos="1725"/>
          <w:tab w:val="right" w:pos="9921"/>
        </w:tabs>
        <w:jc w:val="right"/>
        <w:rPr>
          <w:sz w:val="22"/>
          <w:szCs w:val="22"/>
        </w:rPr>
      </w:pPr>
    </w:p>
    <w:p w14:paraId="52F805B7" w14:textId="10002869" w:rsidR="0096436E" w:rsidRDefault="0096436E" w:rsidP="00E25990">
      <w:pPr>
        <w:tabs>
          <w:tab w:val="left" w:pos="1725"/>
          <w:tab w:val="right" w:pos="9921"/>
        </w:tabs>
        <w:jc w:val="right"/>
        <w:rPr>
          <w:sz w:val="22"/>
          <w:szCs w:val="22"/>
        </w:rPr>
      </w:pPr>
    </w:p>
    <w:p w14:paraId="711AEFFA" w14:textId="31752DA0" w:rsidR="0096436E" w:rsidRDefault="0096436E" w:rsidP="00E25990">
      <w:pPr>
        <w:tabs>
          <w:tab w:val="left" w:pos="1725"/>
          <w:tab w:val="right" w:pos="9921"/>
        </w:tabs>
        <w:jc w:val="right"/>
        <w:rPr>
          <w:sz w:val="22"/>
          <w:szCs w:val="22"/>
        </w:rPr>
      </w:pPr>
    </w:p>
    <w:p w14:paraId="77642ADD" w14:textId="58CD5506" w:rsidR="0096436E" w:rsidRDefault="0096436E" w:rsidP="00E25990">
      <w:pPr>
        <w:tabs>
          <w:tab w:val="left" w:pos="1725"/>
          <w:tab w:val="right" w:pos="9921"/>
        </w:tabs>
        <w:jc w:val="right"/>
        <w:rPr>
          <w:sz w:val="22"/>
          <w:szCs w:val="22"/>
        </w:rPr>
      </w:pPr>
    </w:p>
    <w:p w14:paraId="5843A104" w14:textId="35850E7D" w:rsidR="0096436E" w:rsidRDefault="0096436E" w:rsidP="00E25990">
      <w:pPr>
        <w:tabs>
          <w:tab w:val="left" w:pos="1725"/>
          <w:tab w:val="right" w:pos="9921"/>
        </w:tabs>
        <w:jc w:val="right"/>
        <w:rPr>
          <w:sz w:val="22"/>
          <w:szCs w:val="22"/>
        </w:rPr>
      </w:pPr>
    </w:p>
    <w:p w14:paraId="4C89AACD" w14:textId="586A48B2" w:rsidR="0096436E" w:rsidRDefault="0096436E" w:rsidP="00E25990">
      <w:pPr>
        <w:tabs>
          <w:tab w:val="left" w:pos="1725"/>
          <w:tab w:val="right" w:pos="9921"/>
        </w:tabs>
        <w:jc w:val="right"/>
        <w:rPr>
          <w:sz w:val="22"/>
          <w:szCs w:val="22"/>
        </w:rPr>
      </w:pPr>
    </w:p>
    <w:p w14:paraId="0073C6C9" w14:textId="749DB2A1" w:rsidR="0096436E" w:rsidRDefault="0096436E" w:rsidP="00E25990">
      <w:pPr>
        <w:tabs>
          <w:tab w:val="left" w:pos="1725"/>
          <w:tab w:val="right" w:pos="9921"/>
        </w:tabs>
        <w:jc w:val="right"/>
        <w:rPr>
          <w:sz w:val="22"/>
          <w:szCs w:val="22"/>
        </w:rPr>
      </w:pPr>
    </w:p>
    <w:p w14:paraId="60DAD1BC" w14:textId="45ACF96E" w:rsidR="0096436E" w:rsidRDefault="0096436E" w:rsidP="00E25990">
      <w:pPr>
        <w:tabs>
          <w:tab w:val="left" w:pos="1725"/>
          <w:tab w:val="right" w:pos="9921"/>
        </w:tabs>
        <w:jc w:val="right"/>
        <w:rPr>
          <w:sz w:val="22"/>
          <w:szCs w:val="22"/>
        </w:rPr>
      </w:pPr>
    </w:p>
    <w:p w14:paraId="17E9CC87" w14:textId="77777777" w:rsidR="0096436E" w:rsidRDefault="0096436E" w:rsidP="00E25990">
      <w:pPr>
        <w:tabs>
          <w:tab w:val="left" w:pos="1725"/>
          <w:tab w:val="right" w:pos="9921"/>
        </w:tabs>
        <w:jc w:val="right"/>
        <w:rPr>
          <w:sz w:val="22"/>
          <w:szCs w:val="22"/>
        </w:rPr>
      </w:pPr>
      <w:bookmarkStart w:id="9" w:name="_GoBack"/>
      <w:bookmarkEnd w:id="9"/>
    </w:p>
    <w:p w14:paraId="66916078" w14:textId="722ECA1C" w:rsidR="00360969" w:rsidRDefault="00360969" w:rsidP="00E25990">
      <w:pPr>
        <w:tabs>
          <w:tab w:val="left" w:pos="1725"/>
          <w:tab w:val="right" w:pos="9921"/>
        </w:tabs>
        <w:jc w:val="right"/>
        <w:rPr>
          <w:sz w:val="22"/>
          <w:szCs w:val="22"/>
        </w:rPr>
      </w:pPr>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221561" w:rsidRDefault="00221561">
      <w:r>
        <w:separator/>
      </w:r>
    </w:p>
  </w:endnote>
  <w:endnote w:type="continuationSeparator" w:id="0">
    <w:p w14:paraId="6C856FFA" w14:textId="77777777" w:rsidR="00221561" w:rsidRDefault="0022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221561" w:rsidRDefault="0022156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221561" w:rsidRDefault="00221561" w:rsidP="00E25990">
      <w:r>
        <w:separator/>
      </w:r>
    </w:p>
  </w:footnote>
  <w:footnote w:type="continuationSeparator" w:id="0">
    <w:p w14:paraId="3A305C25" w14:textId="77777777" w:rsidR="00221561" w:rsidRDefault="0022156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1561"/>
    <w:rsid w:val="00222F7F"/>
    <w:rsid w:val="002325B4"/>
    <w:rsid w:val="00233461"/>
    <w:rsid w:val="00235AD4"/>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6436E"/>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purl.org/dc/dcmitype/"/>
    <ds:schemaRef ds:uri="http://purl.org/dc/terms/"/>
  </ds:schemaRefs>
</ds:datastoreItem>
</file>

<file path=customXml/itemProps4.xml><?xml version="1.0" encoding="utf-8"?>
<ds:datastoreItem xmlns:ds="http://schemas.openxmlformats.org/officeDocument/2006/customXml" ds:itemID="{6CEB9A96-EFA0-400B-B1B8-A03E30BD0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32</Pages>
  <Words>19157</Words>
  <Characters>109197</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3</cp:revision>
  <cp:lastPrinted>2023-09-18T06:27:00Z</cp:lastPrinted>
  <dcterms:created xsi:type="dcterms:W3CDTF">2024-03-19T01:27:00Z</dcterms:created>
  <dcterms:modified xsi:type="dcterms:W3CDTF">2024-03-19T01:41:00Z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